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C00699" w:rsidRDefault="00153F8B" w14:paraId="e47d94a" w14:textId="e47d94a">
      <w:pPr>
        <w15:collapsed w:val="false"/>
        <w:rPr>
          <w:sz w:val="20"/>
        </w:rPr>
      </w:pPr>
      <w:bookmarkStart w:name="_GoBack" w:id="0"/>
      <w:bookmarkEnd w:id="0"/>
      <w:r>
        <w:rPr>
          <w:noProof/>
          <w:sz w:val="20"/>
          <w:lang w:eastAsia="hr-HR"/>
        </w:rPr>
        <w:drawing>
          <wp:anchor distT="0" distB="0" distL="114300" distR="114300" simplePos="false" relativeHeight="251657728" behindDoc="false" locked="false" layoutInCell="true" allowOverlap="true">
            <wp:simplePos x="0" y="0"/>
            <wp:positionH relativeFrom="margin">
              <wp:posOffset>960755</wp:posOffset>
            </wp:positionH>
            <wp:positionV relativeFrom="margin">
              <wp:posOffset>-412115</wp:posOffset>
            </wp:positionV>
            <wp:extent cx="476250" cy="600075"/>
            <wp:effectExtent l="0" t="0" r="0" b="9525"/>
            <wp:wrapSquare wrapText="bothSides"/>
            <wp:docPr id="2" name="Slika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476250" cy="600075"/>
                    </a:xfrm>
                    <a:prstGeom prst="rect">
                      <a:avLst/>
                    </a:prstGeom>
                    <a:noFill/>
                  </pic:spPr>
                </pic:pic>
              </a:graphicData>
            </a:graphic>
          </wp:anchor>
        </w:drawing>
      </w:r>
    </w:p>
    <w:tbl>
      <w:tblPr>
        <w:tblpPr w:leftFromText="180" w:rightFromText="180" w:horzAnchor="margin" w:tblpY="315"/>
        <w:tblW w:w="0" w:type="auto"/>
        <w:tblLook w:firstRow="1" w:lastRow="0" w:firstColumn="1" w:lastColumn="0" w:noHBand="0" w:noVBand="1" w:val="04A0"/>
      </w:tblPr>
      <w:tblGrid>
        <w:gridCol w:w="4077"/>
      </w:tblGrid>
      <w:tr w:rsidRPr="00781313" w:rsidR="00467BFD" w:rsidTr="00AA2546">
        <w:tc>
          <w:tcPr>
            <w:tcW w:w="4077" w:type="dxa"/>
          </w:tcPr>
          <w:p w:rsidRPr="00781313" w:rsidR="00467BFD" w:rsidP="00AA2546" w:rsidRDefault="00467BFD">
            <w:pPr>
              <w:spacing w:before="120"/>
              <w:jc w:val="center"/>
              <w:rPr>
                <w:b/>
                <w:sz w:val="20"/>
              </w:rPr>
            </w:pPr>
            <w:r w:rsidRPr="00781313">
              <w:rPr>
                <w:b/>
                <w:sz w:val="20"/>
              </w:rPr>
              <w:t>REPUBLIKA HRVATSKA</w:t>
            </w:r>
          </w:p>
          <w:p w:rsidRPr="00781313" w:rsidR="00467BFD" w:rsidP="00AA2546" w:rsidRDefault="00467BFD">
            <w:pPr>
              <w:jc w:val="center"/>
              <w:rPr>
                <w:b/>
                <w:sz w:val="20"/>
              </w:rPr>
            </w:pPr>
            <w:r w:rsidRPr="00781313">
              <w:rPr>
                <w:b/>
                <w:sz w:val="20"/>
              </w:rPr>
              <w:t>VRHOVNI SUD REPUBLIKE HRVATSKE</w:t>
            </w:r>
          </w:p>
          <w:p w:rsidRPr="00781313" w:rsidR="00467BFD" w:rsidP="00AA2546" w:rsidRDefault="00467BFD">
            <w:pPr>
              <w:jc w:val="center"/>
            </w:pPr>
            <w:r w:rsidRPr="00781313">
              <w:rPr>
                <w:b/>
                <w:sz w:val="20"/>
              </w:rPr>
              <w:t>Z A G R E B</w:t>
            </w:r>
          </w:p>
        </w:tc>
      </w:tr>
    </w:tbl>
    <w:p w:rsidR="00467BFD" w:rsidRDefault="00467BFD">
      <w:pPr>
        <w:rPr>
          <w:sz w:val="20"/>
        </w:rPr>
      </w:pPr>
    </w:p>
    <w:p w:rsidR="00467BFD" w:rsidRDefault="00467BFD">
      <w:pPr>
        <w:rPr>
          <w:sz w:val="20"/>
        </w:rPr>
      </w:pPr>
    </w:p>
    <w:p w:rsidR="00467BFD" w:rsidRDefault="00467BFD">
      <w:pPr>
        <w:rPr>
          <w:sz w:val="20"/>
        </w:rPr>
      </w:pPr>
    </w:p>
    <w:p w:rsidR="00467BFD" w:rsidRDefault="00467BFD">
      <w:pPr>
        <w:rPr>
          <w:sz w:val="20"/>
        </w:rPr>
      </w:pPr>
    </w:p>
    <w:p w:rsidR="00467BFD" w:rsidRDefault="00467BFD">
      <w:pPr>
        <w:rPr>
          <w:sz w:val="20"/>
        </w:rPr>
      </w:pPr>
    </w:p>
    <w:p w:rsidR="00C00699" w:rsidRDefault="00C00699">
      <w:pPr>
        <w:jc w:val="right"/>
      </w:pPr>
      <w:r>
        <w:t xml:space="preserve">Broj: </w:t>
      </w:r>
      <w:bookmarkStart w:name="Broj" w:id="1"/>
      <w:bookmarkEnd w:id="1"/>
      <w:r w:rsidR="00153F8B">
        <w:t>Gr1 339/2019-2</w:t>
      </w:r>
    </w:p>
    <w:p w:rsidR="00C00699" w:rsidRDefault="00C00699">
      <w:pPr>
        <w:jc w:val="right"/>
      </w:pPr>
    </w:p>
    <w:p w:rsidR="00C00699" w:rsidRDefault="00C00699">
      <w:pPr>
        <w:jc w:val="right"/>
      </w:pPr>
    </w:p>
    <w:p w:rsidR="00C00699" w:rsidRDefault="00C00699">
      <w:pPr>
        <w:jc w:val="right"/>
      </w:pPr>
    </w:p>
    <w:p w:rsidR="00153F8B" w:rsidP="00153F8B" w:rsidRDefault="00153F8B">
      <w:pPr>
        <w:spacing w:line="360" w:lineRule="auto"/>
        <w:jc w:val="center"/>
      </w:pPr>
      <w:bookmarkStart w:name="Naslov" w:id="2"/>
      <w:bookmarkEnd w:id="2"/>
      <w:r>
        <w:t>R E P U B L I K A   H R V A T S K A</w:t>
      </w:r>
    </w:p>
    <w:p w:rsidR="00153F8B" w:rsidP="00153F8B" w:rsidRDefault="00153F8B">
      <w:pPr>
        <w:spacing w:line="360" w:lineRule="auto"/>
        <w:jc w:val="center"/>
      </w:pPr>
      <w:r>
        <w:t>R J E Š E N J E</w:t>
      </w:r>
    </w:p>
    <w:p w:rsidR="00C00699" w:rsidRDefault="00C00699"/>
    <w:p w:rsidR="00153F8B" w:rsidP="00613485" w:rsidRDefault="00153F8B">
      <w:pPr>
        <w:ind w:firstLine="720"/>
      </w:pPr>
      <w:bookmarkStart w:name="Pocetak" w:id="3"/>
      <w:bookmarkEnd w:id="3"/>
      <w:r>
        <w:t>Vrhovni sud Republike Hrvatske po sutkinji Goranki Barać-Ručević, u ovršnoj stvari ovrhovoditelja Stefana Giuliania iz San Marina, Dogana, Via Consiglio Dei Sessanta 29, OIB: 54761290503, kojeg zastupa punomoćnik Ante Vujčić, odvjetnik u Splitu, protiv ovršenika Stečajne mase iza Šolta Hoteli 2007 d.o.o., Nečujam, Šetalište Marulića 1, OIB: 81948218737, kojeg zastupa stečajni upravitelj Marina Mamić, radi ovrhe na nekretnini, odlučujući o sukobu nadležnosti između Općinskog suda u Splitu, koji se oglasio stvarno nenadležnim rješenjem poslovni broj Ovr-4552/16 od 17. siječnja 2019. i Trgovačkog suda u Splitu, koji je izazvao sukob nadležnosti dopisom poslovni broj St-915/15-30 od 4. rujna 2019., 21. listopada 2019.,</w:t>
      </w:r>
    </w:p>
    <w:p w:rsidR="00153F8B" w:rsidP="00613485" w:rsidRDefault="00153F8B"/>
    <w:p w:rsidR="00613485" w:rsidP="00613485" w:rsidRDefault="00613485"/>
    <w:p w:rsidR="00153F8B" w:rsidP="00613485" w:rsidRDefault="00153F8B">
      <w:pPr>
        <w:jc w:val="center"/>
      </w:pPr>
      <w:r>
        <w:t>r i j e š i o   j e:</w:t>
      </w:r>
    </w:p>
    <w:p w:rsidR="00153F8B" w:rsidP="00613485" w:rsidRDefault="00153F8B">
      <w:pPr>
        <w:pStyle w:val="Bezproreda"/>
      </w:pPr>
    </w:p>
    <w:p w:rsidR="00153F8B" w:rsidP="00613485" w:rsidRDefault="00153F8B">
      <w:pPr>
        <w:ind w:firstLine="720"/>
      </w:pPr>
      <w:r>
        <w:t>Za postupanje u ovom predmetu nadležan je Trgovački sud u Splitu.</w:t>
      </w:r>
    </w:p>
    <w:p w:rsidR="00153F8B" w:rsidP="00613485" w:rsidRDefault="00153F8B"/>
    <w:p w:rsidR="00613485" w:rsidP="00613485" w:rsidRDefault="00613485"/>
    <w:p w:rsidR="00153F8B" w:rsidP="00613485" w:rsidRDefault="00153F8B">
      <w:pPr>
        <w:jc w:val="center"/>
      </w:pPr>
      <w:r>
        <w:t>Obrazloženje</w:t>
      </w:r>
    </w:p>
    <w:p w:rsidR="00153F8B" w:rsidP="00613485" w:rsidRDefault="00153F8B">
      <w:pPr>
        <w:pStyle w:val="Bezproreda"/>
      </w:pPr>
    </w:p>
    <w:p w:rsidR="00153F8B" w:rsidP="00613485" w:rsidRDefault="00153F8B">
      <w:pPr>
        <w:ind w:firstLine="720"/>
      </w:pPr>
      <w:r>
        <w:t>Općinski sud u Splitu rješenjem poslovnog broja Ovr-4552/16 od 17. siječnja 2019., utvrdio je prekid postupka (točka I izreke) te se oglasio se stvarno nenadležnim (točka II izreke) i riješio da će se predmet po pravomoćnosti ustupiti Trgovačkom sudu u Splitu na daljnje postupanje, smatrajući da je taj sud stvarno i mjesno nadležan sukladno odredbi čl. 169. st. 6. i 7. Stečajnog zakona ("Narodne novine", broj 71/15 i 74/17 – dalje: SZ).</w:t>
      </w:r>
    </w:p>
    <w:p w:rsidR="00153F8B" w:rsidP="00613485" w:rsidRDefault="00153F8B"/>
    <w:p w:rsidR="00153F8B" w:rsidP="00613485" w:rsidRDefault="00153F8B">
      <w:pPr>
        <w:ind w:firstLine="720"/>
      </w:pPr>
      <w:r>
        <w:t>Trgovački sud u Splitu dopisom poslovni broj St-915/15-30 od 4. rujna 2019., izazvao je sukob nadležnosti smatrajući da je za odlučivanje u ovom predmetu, na temelju odredbe čl. 441. st. 2. SZ nadležan Općinski sud u Splitu.</w:t>
      </w:r>
    </w:p>
    <w:p w:rsidR="00153F8B" w:rsidP="00613485" w:rsidRDefault="00153F8B"/>
    <w:p w:rsidR="00153F8B" w:rsidP="00613485" w:rsidRDefault="00153F8B">
      <w:pPr>
        <w:ind w:firstLine="720"/>
      </w:pPr>
      <w:r>
        <w:t>Iz stanja spisa slijedi da je rješenjem Trgovačkog suda u Splitu poslovni broj St-407/17-10 od 17. svibnja 2018. nad dužnikom Šolta Hoteli 2007 d.o.o., otvoren i zaključen stečajni postupak.</w:t>
      </w:r>
    </w:p>
    <w:p w:rsidR="00153F8B" w:rsidP="00613485" w:rsidRDefault="00153F8B"/>
    <w:p w:rsidR="00153F8B" w:rsidP="00613485" w:rsidRDefault="00153F8B">
      <w:pPr>
        <w:ind w:firstLine="720"/>
      </w:pPr>
      <w:r>
        <w:t xml:space="preserve">Odredbama čl. 169. st. 6. do 8. SZ propisano je da se postupci ovrhe i osiguranja po prijedlogu razlučnih vjerovnika koji su u tijeku u vrijeme otvaranja stečajnog postupka prekidaju; da će prekinute postupke ovrhe i osiguranja nastaviti sud koji vodi stečajni postupak primjenom pravila o unovčenju predmeta na kojima postoji razlučno pravo u </w:t>
      </w:r>
      <w:r>
        <w:lastRenderedPageBreak/>
        <w:t>stečajnom postupku; da je sud koji vodi postupak ovrhe ili osiguranja iz st. 6. tog članka dužan u roku od osam dana od dana otvaranja stečajnog postupka rješenjem utvrditi prekid postupka, oglasiti se nenadležnim i ustupiti predmet sudu koji vodi stečajni postupak.</w:t>
      </w:r>
    </w:p>
    <w:p w:rsidR="00153F8B" w:rsidP="00613485" w:rsidRDefault="00153F8B"/>
    <w:p w:rsidR="00153F8B" w:rsidP="00613485" w:rsidRDefault="00153F8B">
      <w:pPr>
        <w:ind w:firstLine="720"/>
      </w:pPr>
      <w:r>
        <w:t>Odredbom čl. 441. st. 1. SZ propisano je da će se stečajni postupci pokrenuti prije stupanja na snagu toga Zakona (1. rujna 2015.) dovršiti prema odredbama Stečajnog zakona koji je bio na snazi u vrijeme njihova pokretanja, dok je odredbom čl. 441. st. 2. SZ propisano da se između ostalog, odredbe čl. 169. st. 5. do 8. SZ, iznimno primjenjuju na postupke koji su u tijeku, osim ako su radnje na koje se odnose započete prije stupanja na snagu toga Zakona.</w:t>
      </w:r>
    </w:p>
    <w:p w:rsidR="00153F8B" w:rsidP="00613485" w:rsidRDefault="00153F8B"/>
    <w:p w:rsidR="00153F8B" w:rsidP="00613485" w:rsidRDefault="00153F8B">
      <w:pPr>
        <w:ind w:firstLine="720"/>
      </w:pPr>
      <w:r>
        <w:t>U konkretnom slučaju, postupak ovrhe pokrenut je 4. kolovoza 2016. pred Općinskim sudom u Splitu, prijedlogom za ovrhu na temelju ovršne isprave na nekretninama ovršenika.</w:t>
      </w:r>
    </w:p>
    <w:p w:rsidR="00153F8B" w:rsidP="00613485" w:rsidRDefault="00153F8B"/>
    <w:p w:rsidR="00153F8B" w:rsidP="00613485" w:rsidRDefault="00153F8B">
      <w:pPr>
        <w:ind w:firstLine="720"/>
      </w:pPr>
      <w:r>
        <w:t xml:space="preserve">Dana 1. ožujka 2017. Općinski sud u Splitu rješenjem </w:t>
      </w:r>
      <w:r w:rsidR="00613485">
        <w:t xml:space="preserve">poslovni </w:t>
      </w:r>
      <w:r>
        <w:t>broj Z-24818/16 zabilježio je pokretanje ovršnog postupka poslovnog broja Ovr-4552/16, pokrenutog na temelju prijedloga za ovrhu</w:t>
      </w:r>
    </w:p>
    <w:p w:rsidR="00153F8B" w:rsidP="00613485" w:rsidRDefault="00153F8B"/>
    <w:p w:rsidR="00153F8B" w:rsidP="00613485" w:rsidRDefault="00153F8B">
      <w:pPr>
        <w:ind w:firstLine="720"/>
      </w:pPr>
      <w:r>
        <w:t>Prema odredbi čl. 80. Ovršnog zakona ("Narodne novine", broj 112/12, 25/13, 93/14 i 73/17) ovrha na nekretnini provodi se zabilježbom ovrhe u zemljišnoj knjizi, utvrđenjem vrijednosti nekretnine, prodajom nekretnine i namirenjem ovrhovoditelja iz iznosa dobivenoga prodajom.</w:t>
      </w:r>
    </w:p>
    <w:p w:rsidR="00153F8B" w:rsidP="00613485" w:rsidRDefault="00153F8B"/>
    <w:p w:rsidR="00153F8B" w:rsidP="00613485" w:rsidRDefault="00153F8B">
      <w:pPr>
        <w:ind w:firstLine="720"/>
      </w:pPr>
      <w:r>
        <w:t>Zakonska odredba iz čl. 441. st. 2. SZ predviđa iznimku od primjene čl. 169. st. 6. do 8. SZ, međutim samo za ovršne postupke u kojima su ovršne radnje započete prije stupanja na snagu Stečajnog zakona ("Narodne novine", broj 71/15 i 74/17), odnosno prije 1. rujna 2015.</w:t>
      </w:r>
    </w:p>
    <w:p w:rsidR="00153F8B" w:rsidP="00613485" w:rsidRDefault="00153F8B"/>
    <w:p w:rsidR="00153F8B" w:rsidP="00613485" w:rsidRDefault="00153F8B">
      <w:pPr>
        <w:ind w:firstLine="720"/>
      </w:pPr>
      <w:r>
        <w:t>S obzirom na to da je u predmetnom ovršnom postupku, rješenjem poslovni broj Z-24818/16 od 1. ožujka 2017. zabilježeno pokretanje ovršnog postupka dana 1. ožujka 2017., odnosno nakon stupanja na snagu navedenog Stečajnog zakona koji je na snagu stupio 1. rujna 2015., to ne dolazi do primjene iznimka iz čl. 441. st. 2. SZ, već je za postupanje nadležan Trgovački sud u Zagrebu sukladno odredbi čl. 169. st. 6. do 8. SZ.</w:t>
      </w:r>
    </w:p>
    <w:p w:rsidR="00153F8B" w:rsidP="00613485" w:rsidRDefault="00153F8B"/>
    <w:p w:rsidR="00C00699" w:rsidP="00613485" w:rsidRDefault="00153F8B">
      <w:pPr>
        <w:ind w:firstLine="720"/>
      </w:pPr>
      <w:r>
        <w:t xml:space="preserve">Slijedom iznijetog, na temelju odredbi čl. 23. st. 2. i 3. </w:t>
      </w:r>
      <w:r w:rsidRPr="00E37D34">
        <w:t xml:space="preserve">Zakona o parničnom postupku </w:t>
      </w:r>
      <w:r>
        <w:t xml:space="preserve">("Narodne novine", broj 53/91, 91/92, 112/99, 88/01, 117/03, 88/05, 2/07, 84/08, 96/08 i 123/08, </w:t>
      </w:r>
      <w:r w:rsidRPr="00DC6B57">
        <w:rPr>
          <w:bCs/>
          <w:szCs w:val="24"/>
          <w:lang w:eastAsia="hr-HR"/>
        </w:rPr>
        <w:t>57/11, 148/11, 25/13</w:t>
      </w:r>
      <w:r>
        <w:rPr>
          <w:bCs/>
          <w:szCs w:val="24"/>
          <w:lang w:eastAsia="hr-HR"/>
        </w:rPr>
        <w:t>, 89/14 i 70/19</w:t>
      </w:r>
      <w:r>
        <w:t>) odlučeno je kao u izreci.</w:t>
      </w:r>
    </w:p>
    <w:p w:rsidR="00153F8B" w:rsidP="00613485" w:rsidRDefault="00153F8B"/>
    <w:p w:rsidR="00C00699" w:rsidP="00613485" w:rsidRDefault="00C00699">
      <w:pPr>
        <w:jc w:val="center"/>
      </w:pPr>
      <w:r>
        <w:t xml:space="preserve">Zagreb, </w:t>
      </w:r>
      <w:bookmarkStart w:name="Datum" w:id="4"/>
      <w:bookmarkEnd w:id="4"/>
      <w:r w:rsidR="00153F8B">
        <w:t>21. listopada 2019.</w:t>
      </w:r>
    </w:p>
    <w:p w:rsidR="00153F8B" w:rsidP="00613485" w:rsidRDefault="00153F8B"/>
    <w:tbl>
      <w:tblPr>
        <w:tblW w:w="0" w:type="auto"/>
        <w:tblLayout w:type="fixed"/>
        <w:tblLook w:firstRow="0" w:lastRow="0" w:firstColumn="0" w:lastColumn="0" w:noHBand="0" w:noVBand="0" w:val="0000"/>
      </w:tblPr>
      <w:tblGrid>
        <w:gridCol w:w="3095"/>
        <w:gridCol w:w="1288"/>
        <w:gridCol w:w="4902"/>
      </w:tblGrid>
      <w:tr w:rsidR="00153F8B">
        <w:tc>
          <w:tcPr>
            <w:tcW w:w="3095" w:type="dxa"/>
          </w:tcPr>
          <w:p w:rsidR="00153F8B" w:rsidP="00613485" w:rsidRDefault="00153F8B">
            <w:bookmarkStart w:name="Potpis" w:id="5"/>
            <w:bookmarkEnd w:id="5"/>
          </w:p>
        </w:tc>
        <w:tc>
          <w:tcPr>
            <w:tcW w:w="1288" w:type="dxa"/>
          </w:tcPr>
          <w:p w:rsidR="00153F8B" w:rsidP="00613485" w:rsidRDefault="00153F8B">
            <w:pPr>
              <w:jc w:val="center"/>
            </w:pPr>
          </w:p>
        </w:tc>
        <w:tc>
          <w:tcPr>
            <w:tcW w:w="4902" w:type="dxa"/>
          </w:tcPr>
          <w:p w:rsidR="00153F8B" w:rsidP="00613485" w:rsidRDefault="00153F8B">
            <w:pPr>
              <w:jc w:val="center"/>
            </w:pPr>
            <w:r>
              <w:t>Sutkinja:</w:t>
            </w:r>
          </w:p>
          <w:p w:rsidR="00153F8B" w:rsidP="00613485" w:rsidRDefault="00153F8B">
            <w:pPr>
              <w:jc w:val="center"/>
            </w:pPr>
            <w:r>
              <w:t>Goranka Barać-Ručević</w:t>
            </w:r>
            <w:r w:rsidR="00613485">
              <w:t>, v. r.</w:t>
            </w:r>
          </w:p>
        </w:tc>
      </w:tr>
    </w:tbl>
    <w:p w:rsidR="00C00699" w:rsidP="00613485" w:rsidRDefault="00C00699"/>
    <w:tbl>
      <w:tblPr>
        <w:tblW w:w="0" w:type="auto"/>
        <w:tblInd w:w="4219" w:type="dxa"/>
        <w:tblBorders>
          <w:insideV w:val="single" w:color="auto" w:sz="4" w:space="0"/>
        </w:tblBorders>
        <w:tblLayout w:type="fixed"/>
        <w:tblLook w:firstRow="0" w:lastRow="0" w:firstColumn="0" w:lastColumn="0" w:noHBand="0" w:noVBand="0" w:val="0000"/>
      </w:tblPr>
      <w:tblGrid>
        <w:gridCol w:w="5068"/>
      </w:tblGrid>
      <w:tr w:rsidRPr="00C11CDE" w:rsidR="00613485" w:rsidTr="008215C8">
        <w:tc>
          <w:tcPr>
            <w:tcW w:w="5068" w:type="dxa"/>
          </w:tcPr>
          <w:p w:rsidRPr="008344BD" w:rsidR="00613485" w:rsidP="008215C8" w:rsidRDefault="00613485">
            <w:pPr>
              <w:jc w:val="center"/>
              <w:rPr>
                <w:szCs w:val="24"/>
              </w:rPr>
            </w:pPr>
            <w:r w:rsidRPr="008344BD">
              <w:rPr>
                <w:szCs w:val="24"/>
              </w:rPr>
              <w:t>ZA TOČNOST OTPRAVKA</w:t>
            </w:r>
          </w:p>
          <w:p w:rsidRPr="008344BD" w:rsidR="00613485" w:rsidP="008215C8" w:rsidRDefault="00613485">
            <w:pPr>
              <w:jc w:val="center"/>
              <w:rPr>
                <w:szCs w:val="24"/>
              </w:rPr>
            </w:pPr>
            <w:r w:rsidRPr="008344BD">
              <w:rPr>
                <w:szCs w:val="24"/>
              </w:rPr>
              <w:t>Ovlašteni službenik:</w:t>
            </w:r>
          </w:p>
        </w:tc>
      </w:tr>
      <w:tr w:rsidRPr="00C11CDE" w:rsidR="00613485" w:rsidTr="008215C8">
        <w:tc>
          <w:tcPr>
            <w:tcW w:w="5068" w:type="dxa"/>
          </w:tcPr>
          <w:p w:rsidRPr="008344BD" w:rsidR="00613485" w:rsidP="008215C8" w:rsidRDefault="00613485">
            <w:pPr>
              <w:jc w:val="center"/>
              <w:rPr>
                <w:szCs w:val="24"/>
              </w:rPr>
            </w:pPr>
            <w:r w:rsidRPr="008344BD">
              <w:rPr>
                <w:szCs w:val="24"/>
              </w:rPr>
              <w:t>Voditelj Pisarnice za prijem i otpremu</w:t>
            </w:r>
          </w:p>
          <w:p w:rsidRPr="008344BD" w:rsidR="00613485" w:rsidP="008215C8" w:rsidRDefault="00613485">
            <w:pPr>
              <w:jc w:val="center"/>
              <w:rPr>
                <w:szCs w:val="24"/>
              </w:rPr>
            </w:pPr>
          </w:p>
          <w:p w:rsidRPr="008344BD" w:rsidR="00613485" w:rsidP="008215C8" w:rsidRDefault="00613485">
            <w:pPr>
              <w:jc w:val="center"/>
              <w:rPr>
                <w:szCs w:val="24"/>
              </w:rPr>
            </w:pPr>
            <w:r>
              <w:rPr>
                <w:szCs w:val="24"/>
              </w:rPr>
              <w:t>Mirko Paša</w:t>
            </w:r>
          </w:p>
        </w:tc>
      </w:tr>
    </w:tbl>
    <w:p w:rsidR="00613485" w:rsidP="00613485" w:rsidRDefault="00613485"/>
    <w:sectPr w:rsidR="00613485" w:rsidSect="00FE14AF">
      <w:headerReference w:type="default" r:id="rId9"/>
      <w:pgSz w:w="11906" w:h="16838"/>
      <w:pgMar w:top="1985" w:right="1418" w:bottom="1276" w:left="1418" w:header="964" w:footer="720"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53F8B" w:rsidRDefault="00153F8B">
      <w:r>
        <w:separator/>
      </w:r>
    </w:p>
  </w:endnote>
  <w:endnote w:type="continuationSeparator" w:id="0">
    <w:p w:rsidR="00153F8B" w:rsidRDefault="00153F8B">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53F8B" w:rsidRDefault="00153F8B">
      <w:r>
        <w:separator/>
      </w:r>
    </w:p>
  </w:footnote>
  <w:footnote w:type="continuationSeparator" w:id="0">
    <w:p w:rsidR="00153F8B" w:rsidRDefault="00153F8B">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53F8B" w:rsidRDefault="00153F8B">
    <w:pPr>
      <w:pStyle w:val="Zaglavlje"/>
    </w:pPr>
    <w:r>
      <w:tab/>
      <w:t xml:space="preserve">- </w:t>
    </w:r>
    <w:r>
      <w:fldChar w:fldCharType="begin"/>
    </w:r>
    <w:r>
      <w:instrText xml:space="preserve"> PAGE  \* MERGEFORMAT </w:instrText>
    </w:r>
    <w:r>
      <w:fldChar w:fldCharType="separate"/>
    </w:r>
    <w:r w:rsidR="004116A3">
      <w:rPr>
        <w:noProof/>
      </w:rPr>
      <w:t>2</w:t>
    </w:r>
    <w:r>
      <w:fldChar w:fldCharType="end"/>
    </w:r>
    <w:r>
      <w:t xml:space="preserve"> -</w:t>
    </w:r>
    <w:r>
      <w:tab/>
      <w:t>Gr1 339/2019-2</w:t>
    </w:r>
  </w:p>
</w:hdr>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3F8B"/>
    <w:rsid w:val="000B1D67"/>
    <w:rsid w:val="00153F8B"/>
    <w:rsid w:val="001C5F8F"/>
    <w:rsid w:val="002776FC"/>
    <w:rsid w:val="002D4BDE"/>
    <w:rsid w:val="00314C88"/>
    <w:rsid w:val="00373474"/>
    <w:rsid w:val="004116A3"/>
    <w:rsid w:val="00467BFD"/>
    <w:rsid w:val="004F1DE7"/>
    <w:rsid w:val="005B75D4"/>
    <w:rsid w:val="00613485"/>
    <w:rsid w:val="006322D8"/>
    <w:rsid w:val="00690173"/>
    <w:rsid w:val="006A7398"/>
    <w:rsid w:val="007B0D20"/>
    <w:rsid w:val="009401B4"/>
    <w:rsid w:val="00AA2546"/>
    <w:rsid w:val="00C00699"/>
    <w:rsid w:val="00DB4099"/>
    <w:rsid w:val="00EB3AD2"/>
    <w:rsid w:val="00F37BAA"/>
    <w:rsid w:val="00F825A1"/>
    <w:rsid w:val="00FE14A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semiHidden="false" w:unhideWhenUsed="false"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pPr>
      <w:jc w:val="both"/>
    </w:pPr>
    <w:rPr>
      <w:sz w:val="24"/>
      <w:lang w:eastAsia="en-US"/>
    </w:rPr>
  </w:style>
  <w:style w:type="paragraph" w:styleId="Naslov1">
    <w:name w:val="heading 1"/>
    <w:basedOn w:val="Normal"/>
    <w:next w:val="Normal"/>
    <w:qFormat/>
    <w:pPr>
      <w:keepNext/>
      <w:outlineLvl w:val="0"/>
    </w:pPr>
    <w:rPr>
      <w:b/>
      <w:sz w:val="20"/>
    </w:rPr>
  </w:style>
  <w:style w:type="paragraph" w:styleId="Naslov2">
    <w:name w:val="heading 2"/>
    <w:basedOn w:val="Normal"/>
    <w:next w:val="Normal"/>
    <w:qFormat/>
    <w:pPr>
      <w:keepNext/>
      <w:jc w:val="center"/>
      <w:outlineLvl w:val="1"/>
    </w:pPr>
    <w:rPr>
      <w:b/>
      <w:sz w:val="20"/>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pPr>
      <w:tabs>
        <w:tab w:val="center" w:pos="4536"/>
        <w:tab w:val="right" w:pos="9072"/>
      </w:tabs>
    </w:pPr>
  </w:style>
  <w:style w:type="paragraph" w:styleId="Podnoje">
    <w:name w:val="footer"/>
    <w:basedOn w:val="Normal"/>
    <w:pPr>
      <w:tabs>
        <w:tab w:val="center" w:pos="4536"/>
        <w:tab w:val="right" w:pos="9072"/>
      </w:tabs>
    </w:pPr>
  </w:style>
  <w:style w:type="paragraph" w:styleId="Tekstbalonia">
    <w:name w:val="Balloon Text"/>
    <w:basedOn w:val="Normal"/>
    <w:semiHidden/>
    <w:rPr>
      <w:rFonts w:ascii="Tahoma" w:hAnsi="Tahoma" w:cs="Tahoma"/>
      <w:sz w:val="16"/>
      <w:szCs w:val="16"/>
    </w:rPr>
  </w:style>
  <w:style w:type="paragraph" w:styleId="Bezproreda">
    <w:name w:val="No Spacing"/>
    <w:uiPriority w:val="1"/>
    <w:qFormat/>
    <w:rsid w:val="00153F8B"/>
    <w:pPr>
      <w:jc w:val="both"/>
    </w:pPr>
    <w:rPr>
      <w:sz w:val="24"/>
      <w:lang w:eastAsia="en-US"/>
    </w:rPr>
  </w:style>
  <w:style w:type="character" w:styleId="Tekstrezerviranogmjesta">
    <w:name w:val="Placeholder Text"/>
    <w:basedOn w:val="Zadanifontodlomka"/>
    <w:uiPriority w:val="99"/>
    <w:semiHidden/>
    <w:rsid w:val="004116A3"/>
    <w:rPr>
      <w:color w:val="808080"/>
      <w:bdr w:val="none" w:color="auto" w:sz="0" w:space="0"/>
      <w:shd w:val="clear" w:color="auto" w:fill="auto"/>
    </w:rPr>
  </w:style>
  <w:style w:type="character" w:styleId="eSPISCCParagraphDefaultFont" w:customStyle="true">
    <w:name w:val="eSPIS_CC_Paragraph Default Font"/>
    <w:basedOn w:val="Zadanifontodlomka"/>
    <w:rsid w:val="004116A3"/>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4116A3"/>
    <w:rPr>
      <w:sz w:val="20"/>
      <w:bdr w:val="none" w:color="auto" w:sz="0" w:space="0"/>
      <w:shd w:val="clear" w:color="auto" w:fill="FFFFCC"/>
      <w:lang w:val="hr-HR"/>
    </w:rPr>
  </w:style>
  <w:style w:type="character" w:styleId="PozadinaSvijetloCrvena" w:customStyle="true">
    <w:name w:val="Pozadina_SvijetloCrvena"/>
    <w:basedOn w:val="eSPISCCParagraphDefaultFont"/>
    <w:rsid w:val="004116A3"/>
    <w:rPr>
      <w:rFonts w:ascii="Times New Roman" w:hAnsi="Times New Roman" w:cs="Times New Roman"/>
      <w:sz w:val="20"/>
      <w:bdr w:val="none" w:color="auto" w:sz="0" w:space="0"/>
      <w:shd w:val="clear" w:color="auto" w:fill="FFCCCC"/>
      <w:lang w:val="hr-HR"/>
    </w:rPr>
  </w:style>
  <w:style w:type="character" w:styleId="PozadinaSvijetloZelena" w:customStyle="true">
    <w:name w:val="Pozadina_SvijetloZelena"/>
    <w:basedOn w:val="eSPISCCParagraphDefaultFont"/>
    <w:rsid w:val="004116A3"/>
    <w:rPr>
      <w:rFonts w:ascii="Times New Roman" w:hAnsi="Times New Roman" w:cs="Times New Roman"/>
      <w:sz w:val="20"/>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jc w:val="both"/>
    </w:pPr>
    <w:rPr>
      <w:sz w:val="24"/>
      <w:lang w:eastAsia="en-US"/>
    </w:rPr>
  </w:style>
  <w:style w:styleId="Naslov1" w:type="paragraph">
    <w:name w:val="heading 1"/>
    <w:basedOn w:val="Normal"/>
    <w:next w:val="Normal"/>
    <w:qFormat/>
    <w:pPr>
      <w:keepNext/>
      <w:outlineLvl w:val="0"/>
    </w:pPr>
    <w:rPr>
      <w:b/>
      <w:sz w:val="20"/>
    </w:rPr>
  </w:style>
  <w:style w:styleId="Naslov2" w:type="paragraph">
    <w:name w:val="heading 2"/>
    <w:basedOn w:val="Normal"/>
    <w:next w:val="Normal"/>
    <w:qFormat/>
    <w:pPr>
      <w:keepNext/>
      <w:jc w:val="center"/>
      <w:outlineLvl w:val="1"/>
    </w:pPr>
    <w:rPr>
      <w:b/>
      <w:sz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ekstbalonia" w:type="paragraph">
    <w:name w:val="Balloon Text"/>
    <w:basedOn w:val="Normal"/>
    <w:semiHidden/>
    <w:rPr>
      <w:rFonts w:ascii="Tahoma" w:cs="Tahoma" w:hAnsi="Tahoma"/>
      <w:sz w:val="16"/>
      <w:szCs w:val="16"/>
    </w:rPr>
  </w:style>
  <w:style w:styleId="Bezproreda" w:type="paragraph">
    <w:name w:val="No Spacing"/>
    <w:uiPriority w:val="1"/>
    <w:qFormat/>
    <w:rsid w:val="00153F8B"/>
    <w:pPr>
      <w:jc w:val="both"/>
    </w:pPr>
    <w:rPr>
      <w:sz w:val="24"/>
      <w:lang w:eastAsia="en-US"/>
    </w:rPr>
  </w:style>
  <w:style w:styleId="Tekstrezerviranogmjesta" w:type="character">
    <w:name w:val="Placeholder Text"/>
    <w:basedOn w:val="Zadanifontodlomka"/>
    <w:uiPriority w:val="99"/>
    <w:semiHidden/>
    <w:rsid w:val="004116A3"/>
    <w:rPr>
      <w:color w:val="808080"/>
      <w:bdr w:color="auto" w:space="0" w:sz="0" w:val="none"/>
      <w:shd w:color="auto" w:fill="auto" w:val="clear"/>
    </w:rPr>
  </w:style>
  <w:style w:customStyle="1" w:styleId="eSPISCCParagraphDefaultFont" w:type="character">
    <w:name w:val="eSPIS_CC_Paragraph Default Font"/>
    <w:basedOn w:val="Zadanifontodlomka"/>
    <w:rsid w:val="004116A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116A3"/>
    <w:rPr>
      <w:sz w:val="20"/>
      <w:bdr w:color="auto" w:space="0" w:sz="0" w:val="none"/>
      <w:shd w:color="auto" w:fill="FFFFCC" w:val="clear"/>
      <w:lang w:val="hr-HR"/>
    </w:rPr>
  </w:style>
  <w:style w:customStyle="1" w:styleId="PozadinaSvijetloCrvena" w:type="character">
    <w:name w:val="Pozadina_SvijetloCrvena"/>
    <w:basedOn w:val="eSPISCCParagraphDefaultFont"/>
    <w:rsid w:val="004116A3"/>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4116A3"/>
    <w:rPr>
      <w:rFonts w:ascii="Times New Roman" w:cs="Times New Roman" w:hAnsi="Times New Roman"/>
      <w:sz w:val="20"/>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stylesWithEffects.xml" Type="http://schemas.microsoft.com/office/2007/relationships/stylesWithEffects" Id="rId3"/><Relationship Target="endnotes.xml" Type="http://schemas.openxmlformats.org/officeDocument/2006/relationships/endnotes" Id="rId7"/><Relationship Target="styles.xml" Type="http://schemas.openxmlformats.org/officeDocument/2006/relationships/styles"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 PRAVOSUĐA RH</properties:Company>
  <properties:Pages>2</properties:Pages>
  <properties:Words>744</properties:Words>
  <properties:Characters>3872</properties:Characters>
  <properties:Lines>101</properties:Lines>
  <properties:Paragraphs>28</properties:Paragraphs>
  <properties:TotalTime>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4593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2019-10-22T06:32:00Z</dcterms:created>
  <dc:creator>Smrekar, Martina</dc:creator>
  <cp:lastModifiedBy>Ana Golub Gruić</cp:lastModifiedBy>
  <cp:lastPrinted>2002-02-26T14:53:00Z</cp:lastPrinted>
  <dcterms:modified xmlns:xsi="http://www.w3.org/2001/XMLSchema-instance" xsi:type="dcterms:W3CDTF">2019-11-12T12:10:00Z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Novi podnesak (3.docx)</vt:lpwstr>
  </prop:property>
  <prop:property fmtid="{D5CDD505-2E9C-101B-9397-08002B2CF9AE}" pid="4" name="CC_coloring">
    <vt:bool>false</vt:bool>
  </prop:property>
  <prop:property fmtid="{D5CDD505-2E9C-101B-9397-08002B2CF9AE}" pid="5" name="BrojStranica">
    <vt:i4>2</vt:i4>
  </prop:property>
</prop:Properties>
</file>